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2C2CA3" w:rsidRPr="005D1F85" w:rsidTr="00217F28">
        <w:trPr>
          <w:trHeight w:val="983"/>
        </w:trPr>
        <w:tc>
          <w:tcPr>
            <w:tcW w:w="5386" w:type="dxa"/>
            <w:hideMark/>
          </w:tcPr>
          <w:p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5D1F85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2C2CA3" w:rsidRPr="002C2CA3" w:rsidRDefault="005D1F85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«Прогимназия №15»</w:t>
            </w:r>
            <w:r w:rsidR="002C2CA3"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C2CA3" w:rsidRPr="002C2CA3" w:rsidRDefault="005D1F85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2</w:t>
            </w:r>
          </w:p>
          <w:p w:rsidR="002C2CA3" w:rsidRPr="005D1F85" w:rsidRDefault="005D1F85" w:rsidP="005D1F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«7</w:t>
            </w:r>
            <w:r w:rsidR="002C2CA3" w:rsidRPr="005D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2C2CA3" w:rsidRPr="005D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г. </w:t>
            </w:r>
          </w:p>
        </w:tc>
        <w:tc>
          <w:tcPr>
            <w:tcW w:w="5386" w:type="dxa"/>
            <w:hideMark/>
          </w:tcPr>
          <w:p w:rsidR="005D1F85" w:rsidRDefault="005D1F85" w:rsidP="005D1F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2C2CA3"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2C2CA3" w:rsidRPr="002C2CA3" w:rsidRDefault="005D1F85" w:rsidP="005D1F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Директором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«Прогимназия №15»</w:t>
            </w:r>
          </w:p>
          <w:p w:rsidR="002C2CA3" w:rsidRPr="002C2CA3" w:rsidRDefault="005D1F85" w:rsidP="005D1F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_______</w:t>
            </w:r>
            <w:r w:rsidR="002C2CA3"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Р.Э.Алимурадова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C2CA3" w:rsidRPr="005D1F85" w:rsidRDefault="005D1F85" w:rsidP="002C2CA3">
            <w:pPr>
              <w:spacing w:before="0" w:beforeAutospacing="0" w:after="0" w:afterAutospacing="0"/>
              <w:ind w:left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Приказ № </w:t>
            </w:r>
          </w:p>
          <w:p w:rsidR="002C2CA3" w:rsidRPr="005D1F85" w:rsidRDefault="002C2CA3" w:rsidP="002C2CA3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</w:p>
        </w:tc>
      </w:tr>
    </w:tbl>
    <w:p w:rsidR="002C2CA3" w:rsidRDefault="002C2CA3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внутренней системе оценки качества образования </w:t>
      </w:r>
      <w:r w:rsidR="005D1F85" w:rsidRPr="005D1F85">
        <w:rPr>
          <w:rFonts w:hAnsi="Times New Roman" w:cs="Times New Roman"/>
          <w:b/>
          <w:color w:val="000000"/>
          <w:sz w:val="24"/>
          <w:szCs w:val="24"/>
          <w:lang w:val="ru-RU"/>
        </w:rPr>
        <w:t>МБОУ «Прогимназия №15»</w:t>
      </w:r>
      <w:r w:rsidRPr="00DE7E40">
        <w:rPr>
          <w:lang w:val="ru-RU"/>
        </w:rPr>
        <w:br/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МБОУ 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«Прогимназия №15»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далее – Положение):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4A3B6A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начального общего образования»;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35BEF" w:rsidRPr="00DE7E40" w:rsidRDefault="00A35BEF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06.05.2019 №590/219 «Методология и критерии оценки качества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4A3B6A" w:rsidRPr="005D1F85" w:rsidRDefault="00DE7E40" w:rsidP="00F1086E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</w:t>
      </w:r>
      <w:proofErr w:type="gramStart"/>
      <w:r w:rsidRP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актами </w:t>
      </w:r>
      <w:r w:rsidR="005D1F85" w:rsidRP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1F85" w:rsidRPr="005D1F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End"/>
      <w:r w:rsidR="005D1F85" w:rsidRP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</w:p>
    <w:p w:rsidR="00A35BEF" w:rsidRPr="00DE7E40" w:rsidRDefault="00A35BEF" w:rsidP="00A35BEF">
      <w:pPr>
        <w:spacing w:before="0" w:beforeAutospacing="0" w:after="0" w:afterAutospacing="0"/>
        <w:ind w:left="851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внутренняя система оценки качества образования (ВСОКО)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>«Прогимназия №15»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потребностям участников образовательных отношений;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внутришкольный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контроль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(ВШК)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качество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образования</w:t>
      </w:r>
      <w:proofErr w:type="spell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независимая оценка качества образования (НОКО)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основная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образовательная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программа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(ООП)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оценка</w:t>
      </w:r>
      <w:proofErr w:type="spell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диагностика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мониторинг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ГИА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ФПУ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ИКТ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УУД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ВПР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PISA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НИКО</w:t>
      </w:r>
    </w:p>
    <w:p w:rsidR="004A3B6A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национальное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7E40" w:rsidRDefault="00DE7E40" w:rsidP="00DE7E40">
      <w:pPr>
        <w:spacing w:before="0" w:beforeAutospacing="0" w:after="0" w:afterAutospacing="0"/>
        <w:ind w:left="568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A3B6A" w:rsidRP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C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включает: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851" w:right="180" w:hanging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В рамках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6602A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E6602A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="00E6602A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4A3B6A" w:rsidRPr="00DE7E40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4A3B6A" w:rsidRDefault="00BE2587" w:rsidP="005D1F85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Результаты функционирования ВСОКО обобщаются и фиксируются в ежегодном отчете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учащихся </w:t>
      </w:r>
      <w:r w:rsidR="00BE2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конкурсах, соревнованиях, олимпиадах различного уровня;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3.3. Текущий контроль и промежуточная аттестация обучающихся регулируются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оложением о формах, периодичности, порядке текущего контроля и промежуточной аттестации обучающихся.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«4». Баллом «5» отмечаются правильно выполненные задания высокого уровня сложности.</w:t>
      </w:r>
    </w:p>
    <w:p w:rsid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</w:t>
      </w:r>
      <w:r w:rsidR="00E6602A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E6602A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A3B6A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</w:t>
      </w:r>
      <w:proofErr w:type="gram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p w:rsidR="00E82F21" w:rsidRPr="00DE7E40" w:rsidRDefault="00E82F21" w:rsidP="002C2C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Оценка ООП соответствующего уровня общего образования проводится на этапе разработки ООП на предмет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783EFE" w:rsidRPr="00DE7E40" w:rsidRDefault="00783EFE" w:rsidP="00783EFE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4A3B6A" w:rsidRPr="00DE7E40" w:rsidRDefault="00DE7E40" w:rsidP="005D1F85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направления, процедуры проведения и технологии мониторинга определяются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 w:rsidR="005D1F85" w:rsidRP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4A3B6A" w:rsidRPr="00DE7E40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:rsidR="0048032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392B1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392B1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="00392B1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разрабатываться и проводиться иные мониторинги. 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5D1F85" w:rsidRPr="00DE7E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1F85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№15»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4A3B6A" w:rsidRPr="004B23BC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B23BC">
        <w:rPr>
          <w:rFonts w:hAnsi="Times New Roman" w:cs="Times New Roman"/>
          <w:sz w:val="24"/>
          <w:szCs w:val="24"/>
          <w:lang w:val="ru-RU"/>
        </w:rPr>
        <w:t>Администрация школы обеспечивает участие не менее 50 процентов родителей (законных представителей) в опросах НОКО.</w:t>
      </w:r>
    </w:p>
    <w:p w:rsidR="00480326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480326">
      <w:pPr>
        <w:spacing w:before="0" w:beforeAutospacing="0" w:after="0" w:afterAutospacing="0"/>
        <w:ind w:left="-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E7E40">
        <w:rPr>
          <w:lang w:val="ru-RU"/>
        </w:rPr>
        <w:br/>
      </w:r>
    </w:p>
    <w:p w:rsidR="004A3B6A" w:rsidRDefault="00DE7E40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p w:rsidR="00480326" w:rsidRPr="00DE7E40" w:rsidRDefault="00480326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8"/>
        <w:gridCol w:w="2482"/>
        <w:gridCol w:w="1212"/>
        <w:gridCol w:w="1145"/>
        <w:gridCol w:w="1406"/>
        <w:gridCol w:w="1237"/>
      </w:tblGrid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4A3B6A" w:rsidRPr="00BE2587" w:rsidRDefault="004A3B6A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2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3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–первая;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  <w:bookmarkStart w:id="0" w:name="_GoBack"/>
            <w:bookmarkEnd w:id="0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DE7E40">
            <w:pPr>
              <w:spacing w:before="0" w:beforeAutospacing="0" w:after="0" w:afterAutospacing="0"/>
              <w:ind w:lef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педагогов-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психологов 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дополнительных образовательных программ на базе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выходом в интернет с компьютеров,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расположенных в помещении библиотеки;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цифровых программных продуктов, используемых для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 проектной деятельности обучающихся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AA298B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</w:tbl>
    <w:p w:rsidR="00DE7E40" w:rsidRDefault="00DE7E40" w:rsidP="00DE7E40">
      <w:pPr>
        <w:spacing w:before="0" w:beforeAutospacing="0" w:after="0" w:afterAutospacing="0"/>
        <w:ind w:left="-426"/>
        <w:jc w:val="both"/>
      </w:pPr>
    </w:p>
    <w:sectPr w:rsidR="00DE7E40" w:rsidSect="00DE7E40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00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2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B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4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3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2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95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D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4582"/>
    <w:rsid w:val="00085C09"/>
    <w:rsid w:val="00215D86"/>
    <w:rsid w:val="002C2CA3"/>
    <w:rsid w:val="002D33B1"/>
    <w:rsid w:val="002D3591"/>
    <w:rsid w:val="003514A0"/>
    <w:rsid w:val="00392B15"/>
    <w:rsid w:val="00480326"/>
    <w:rsid w:val="004A3B6A"/>
    <w:rsid w:val="004B23BC"/>
    <w:rsid w:val="004F7E17"/>
    <w:rsid w:val="005A05CE"/>
    <w:rsid w:val="005D1F85"/>
    <w:rsid w:val="00653AF6"/>
    <w:rsid w:val="007044B5"/>
    <w:rsid w:val="00783EFE"/>
    <w:rsid w:val="00A35BEF"/>
    <w:rsid w:val="00B73A5A"/>
    <w:rsid w:val="00BE2587"/>
    <w:rsid w:val="00C460C6"/>
    <w:rsid w:val="00DE7E40"/>
    <w:rsid w:val="00E438A1"/>
    <w:rsid w:val="00E6602A"/>
    <w:rsid w:val="00E82F21"/>
    <w:rsid w:val="00EE0C9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85F"/>
  <w15:docId w15:val="{E2D014FC-BF0C-4A9B-B879-31C824DE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9</cp:revision>
  <cp:lastPrinted>2023-09-11T07:47:00Z</cp:lastPrinted>
  <dcterms:created xsi:type="dcterms:W3CDTF">2011-11-02T04:15:00Z</dcterms:created>
  <dcterms:modified xsi:type="dcterms:W3CDTF">2024-01-18T07:42:00Z</dcterms:modified>
</cp:coreProperties>
</file>